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Гамзаева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Гамзаева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Нифталы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Эйваза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Гамзаев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автодороге 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Замятинская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eastAsia="Times New Roman" w:hAnsi="Times New Roman" w:cs="Times New Roman"/>
          <w:sz w:val="28"/>
          <w:szCs w:val="28"/>
        </w:rPr>
        <w:t>ргут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20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Гамзаев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Н.Э.о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Гамзаев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транспортными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одни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Гамзаев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674764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Гамзаев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автодороге 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Замятинская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Сургуте, управлял транспортным средством «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20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86 ПК № </w:t>
      </w:r>
      <w:r>
        <w:rPr>
          <w:rFonts w:ascii="Times New Roman" w:eastAsia="Times New Roman" w:hAnsi="Times New Roman" w:cs="Times New Roman"/>
          <w:sz w:val="28"/>
          <w:szCs w:val="28"/>
        </w:rPr>
        <w:t>078592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.2025 об отстранении от управления транспортным средством;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СП № </w:t>
      </w:r>
      <w:r>
        <w:rPr>
          <w:rFonts w:ascii="Times New Roman" w:eastAsia="Times New Roman" w:hAnsi="Times New Roman" w:cs="Times New Roman"/>
          <w:sz w:val="28"/>
          <w:szCs w:val="28"/>
        </w:rPr>
        <w:t>069377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задержании транспортного средства;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Гамзаева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Н.Э.о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8"/>
          <w:szCs w:val="28"/>
        </w:rPr>
        <w:t>Гамзаев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один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.2024 года;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ИИАЗ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ОБДПС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видеофиксацией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административного правонарушения;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акта приема сдачи водительского удостоверения;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 др.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Гамзаева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вменяемого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13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Пленума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правонарушениях» разъяснено, что «…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РФ.»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Гамзаев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ст. 12.7 ч. 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наличие обстоятельств, смягчающих и отягчающих административную ответственность,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Гамзаева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Н.Э.о</w:t>
      </w:r>
      <w:r>
        <w:rPr>
          <w:rFonts w:ascii="Times New Roman" w:eastAsia="Times New Roman" w:hAnsi="Times New Roman" w:cs="Times New Roman"/>
          <w:sz w:val="28"/>
          <w:szCs w:val="28"/>
        </w:rPr>
        <w:t>. к совершенному правонарушению, суд назначает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Гамзаева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Нифталы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Эйваза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(тридцать тысяч)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40102810245370000007. Получатель: УФК по ХМАО-Югре (УМВД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ХМАО-Югре);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5630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>много округа-Югры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437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CarNumbergrp-20rplc-21">
    <w:name w:val="cat-CarNumber grp-20 rplc-21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CarNumbergrp-20rplc-34">
    <w:name w:val="cat-CarNumber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